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21.png" ContentType="image/png"/>
  <Override PartName="/word/media/rId34.png" ContentType="image/png"/>
  <Override PartName="/word/media/rId55.png" ContentType="image/png"/>
  <Override PartName="/word/media/rId60.png" ContentType="image/png"/>
  <Override PartName="/word/media/rId50.png" ContentType="image/png"/>
  <Override PartName="/word/media/rId45.png" ContentType="image/png"/>
  <Override PartName="/word/media/rId66.png" ContentType="image/png"/>
  <Override PartName="/word/media/rId90.png" ContentType="image/png"/>
  <Override PartName="/word/media/rId28.png" ContentType="image/png"/>
  <Override PartName="/word/media/rId78.png" ContentType="image/png"/>
  <Override PartName="/word/media/rId7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PREPRINT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PREPRINT.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2024-03-05</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drone</w:t>
      </w:r>
      <w:r>
        <w:t xml:space="preserve"> </w:t>
      </w:r>
      <w:r>
        <w:t xml:space="preserve">images</w:t>
      </w:r>
      <w:r>
        <w:t xml:space="preserve"> </w:t>
      </w:r>
      <w:r>
        <w:t xml:space="preserve">acquired</w:t>
      </w:r>
      <w:r>
        <w:t xml:space="preserve"> </w:t>
      </w:r>
      <w:r>
        <w:t xml:space="preserve">with</w:t>
      </w:r>
      <w:r>
        <w:t xml:space="preserve"> </w:t>
      </w:r>
      <w:r>
        <w:t xml:space="preserve">multi-spectral</w:t>
      </w:r>
      <w:r>
        <w:t xml:space="preserve"> </w:t>
      </w:r>
      <w:r>
        <w:t xml:space="preserve">sensors</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drones</w:t>
      </w:r>
      <w:r>
        <w:t xml:space="preserve"> </w:t>
      </w:r>
      <w:r>
        <w:t xml:space="preserve">acquisitions</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Ten</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5</w:t>
      </w:r>
      <w:r>
        <w:t xml:space="preserve"> </w:t>
      </w:r>
      <w:r>
        <w:t xml:space="preserve">intertidal</w:t>
      </w:r>
      <w:r>
        <w:t xml:space="preserve"> </w:t>
      </w:r>
      <w:r>
        <w:t xml:space="preserve">vegetation</w:t>
      </w:r>
      <w:r>
        <w:t xml:space="preserve"> </w:t>
      </w:r>
      <w:r>
        <w:t xml:space="preserve">classes.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p>
    <w:bookmarkStart w:id="20" w:name="introduction"/>
    <w:p>
      <w:pPr>
        <w:pStyle w:val="Heading1"/>
      </w:pPr>
      <w:r>
        <w:t xml:space="preserve">1. Introduction</w:t>
      </w:r>
    </w:p>
    <w:p>
      <w:pPr>
        <w:pStyle w:val="FirstParagraph"/>
      </w:pPr>
      <w:r>
        <w:t xml:space="preserve">Coastal areas are vital hotshots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to humanity, including carbon sequestration, oxygen production,protection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associated to anomalous accumulation of green macroalgae, the so-called green tides (</w:t>
      </w:r>
      <w:r>
        <w:t xml:space="preserve">Devlin and Brodie (2023)</w:t>
      </w:r>
      <w:r>
        <w:t xml:space="preserve"> </w:t>
      </w:r>
      <w:r>
        <w:t xml:space="preserve">;</w:t>
      </w:r>
      <w:r>
        <w:t xml:space="preserve"> </w:t>
      </w:r>
      <w:r>
        <w:t xml:space="preserve">Devlin and Brodie (2023)</w:t>
      </w:r>
      <w:r>
        <w:t xml:space="preserve">). Green tides produce shade and suffication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populuation abundance, and phenology</w:t>
      </w:r>
      <w:r>
        <w:t xml:space="preserve"> </w:t>
      </w:r>
      <w:r>
        <w:t xml:space="preserve">(Pereira et al., 2013)</w:t>
      </w:r>
      <w:r>
        <w:t xml:space="preserve">. Seagrass monitoring is all the more important as it makes possible to identify which pressure should be addressed in priority to facilitate effective mitigation actions. Traditionally, indicators of seagrass status have been quantified using in situ 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provides temporally consistent observations over large spatial scales, it is limited by several constraints. Satellite missions with a high temporal resolution (e.g. daily MODIS observation) are limited by a coarse spatial resolution (&gt;100m). Mission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et al., 2023a ; Bannari et al., 2022)</w:t>
      </w:r>
      <w:r>
        <w:t xml:space="preserve">. Recently, using advanced machine-learning algorithms trained with a large hyperspectral library of more then 300 field reflectance measurements,</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The application of this approach to satellite remote sensing remains however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the event.</w:t>
      </w:r>
    </w:p>
    <w:p>
      <w:pPr>
        <w:pStyle w:val="BodyText"/>
      </w:pPr>
      <w:r>
        <w:t xml:space="preserve">Drone can potentially fill the gaps left by satellite remote sensing and in situ measurments, due to their ability to provide spatially-explicit observations at very high spatial resolutions (pixel size from cm to mm) and still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sutdy cases were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remote sensing to map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algae. A deep learning algorithm was trained and validated for macrophyte discrimination, emphasizing applicability across diverse sites without a loss of prediction accuracy.</w:t>
      </w:r>
    </w:p>
    <w:bookmarkEnd w:id="20"/>
    <w:bookmarkStart w:id="44"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sourthern part of the gulf (Duer). Two others sites are located in Bourgneuf Bay, France (46.9849°N, 2.1488°W). This bay is a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 a monospecific bed of</w:t>
      </w:r>
      <w:r>
        <w:t xml:space="preserve"> </w:t>
      </w:r>
      <w:r>
        <w:rPr>
          <w:iCs/>
          <w:i/>
        </w:rPr>
        <w:t xml:space="preserve">Zostera noltei</w:t>
      </w:r>
      <w:r>
        <w:t xml:space="preserve"> </w:t>
      </w:r>
      <w:r>
        <w:t xml:space="preserve">with very little mixing with other macrophytes. Three sites have been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could intermingle with red algae (Rhodophyceae), brown algae (Phaeophyceae), and green algae (Chlorophyceae).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Sites observed by drone. A: Gulf of Morbihan, B: Bourngeuf Bay, C: Ria de Aveiro Lagoon. Light green represent terrestrial areas whereas darkgreen represent intertidal areas.</w:t>
            </w:r>
          </w:p>
          <w:bookmarkEnd w:id="24"/>
        </w:tc>
      </w:tr>
    </w:tbl>
    <w:bookmarkEnd w:id="25"/>
    <w:bookmarkEnd w:id="26"/>
    <w:bookmarkStart w:id="27"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10 spectral bands, from 444 nm (blue) to 840 nm (near infrared, NIR). An angle of 90° was maintained between the sun and the drone’s route to guarantee uniform lighting conditions between flight lines. A side overlap of 70% and a front overlap of 80% between each imagewas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 : 12 m or/and 120 m. Low altitude drone flights produce ortho-images with a very high spatial resolution (8 mm per pixel), making it simple to visually distinguish between the various types of vegetation. High altitude fights on the other hand allow to cover large areas and produced images with a pixel size of 80 mm (Table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bookmarkEnd w:id="27"/>
    <w:bookmarkStart w:id="33" w:name="field-sampling"/>
    <w:p>
      <w:pPr>
        <w:pStyle w:val="Heading2"/>
      </w:pPr>
      <w:r>
        <w:t xml:space="preserve">2.3 Field sampling</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0.25cm² used to assess the presence or absence of 5 key classes of vegetation : Bacillariophyceae (Benthic diatoms forming large biofilm over the sediment during low tide), Phaeophyceae (brown algae), Magnoliopsida (seagrass), Chlorophyceae (green algae) and Rhodophyceae (red algae) (</w:t>
      </w:r>
      <w:hyperlink w:anchor="fig-vegetation">
        <w:r>
          <w:rPr>
            <w:rStyle w:val="Hyperlink"/>
          </w:rPr>
          <w:t xml:space="preserve">Figure 2</w:t>
        </w:r>
      </w:hyperlink>
      <w:r>
        <w:t xml:space="preserve">). Pictures of each quadrat were uploaded on the online on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 the hyperspectral reflectance signatures of each vegetation class was measured using an ASD FieldSpec HandHeld 2 spectroradiometer, which acquires reflectance between 325 and 1075 nm, with 1 nm of spectral resolution. The methodological scheme followed in this study is presented in</w:t>
      </w:r>
      <w:r>
        <w:t xml:space="preserve"> </w:t>
      </w:r>
      <w:hyperlink w:anchor="fig-workflow">
        <w:r>
          <w:rPr>
            <w:rStyle w:val="Hyperlink"/>
          </w:rPr>
          <w:t xml:space="preserve">Figure 3</w:t>
        </w:r>
      </w:hyperlink>
      <w:r>
        <w:t xml:space="preserve">.</w:t>
      </w:r>
    </w:p>
    <w:bookmarkStart w:id="32" w:name="cell-fig-vegetation"/>
    <w:tbl>
      <w:tblPr>
        <w:tblStyle w:val="Table"/>
        <w:tblW w:type="pct" w:w="5000"/>
        <w:tblLook w:firstRow="0" w:lastRow="0" w:firstColumn="0" w:lastColumn="0" w:noHBand="0" w:noVBand="0" w:val="0000"/>
        <w:jc w:val="start"/>
        <w:tblLayout w:type="fixed"/>
      </w:tblPr>
      <w:tblGrid>
        <w:gridCol w:w="7920"/>
      </w:tblGrid>
      <w:tr>
        <w:tc>
          <w:tcPr/>
          <w:bookmarkStart w:id="31" w:name="fig-vegetation"/>
          <w:p>
            <w:pPr>
              <w:pStyle w:val="Compact"/>
              <w:jc w:val="center"/>
            </w:pPr>
            <w:r>
              <w:drawing>
                <wp:inline>
                  <wp:extent cx="1831088" cy="1281762"/>
                  <wp:effectExtent b="0" l="0" r="0" t="0"/>
                  <wp:docPr descr="" title="" id="29" name="Picture"/>
                  <a:graphic>
                    <a:graphicData uri="http://schemas.openxmlformats.org/drawingml/2006/picture">
                      <pic:pic>
                        <pic:nvPicPr>
                          <pic:cNvPr descr="Figures/Low_res/Spectral_shapes_total.png" id="30" name="Picture"/>
                          <pic:cNvPicPr>
                            <a:picLocks noChangeArrowheads="1" noChangeAspect="1"/>
                          </pic:cNvPicPr>
                        </pic:nvPicPr>
                        <pic:blipFill>
                          <a:blip r:embed="rId28"/>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Class of vegetation used to train the Neural Network model and their standardised spectral signature</w:t>
            </w:r>
          </w:p>
          <w:bookmarkEnd w:id="31"/>
        </w:tc>
      </w:tr>
    </w:tbl>
    <w:bookmarkEnd w:id="32"/>
    <w:bookmarkEnd w:id="33"/>
    <w:bookmarkStart w:id="43" w:name="intertidal-vegetation-mapping"/>
    <w:p>
      <w:pPr>
        <w:pStyle w:val="Heading2"/>
      </w:pPr>
      <w:r>
        <w:t xml:space="preserve">2.4 Intertidal vegetation mapping</w:t>
      </w:r>
    </w:p>
    <w:bookmarkStart w:id="38" w:name="cell-fig-workflow"/>
    <w:tbl>
      <w:tblPr>
        <w:tblStyle w:val="Table"/>
        <w:tblW w:type="pct" w:w="5000"/>
        <w:tblLook w:firstRow="0" w:lastRow="0" w:firstColumn="0" w:lastColumn="0" w:noHBand="0" w:noVBand="0" w:val="0000"/>
        <w:jc w:val="start"/>
        <w:tblLayout w:type="fixed"/>
      </w:tblPr>
      <w:tblGrid>
        <w:gridCol w:w="7920"/>
      </w:tblGrid>
      <w:tr>
        <w:tc>
          <w:tcPr/>
          <w:bookmarkStart w:id="37" w:name="fig-workflow"/>
          <w:p>
            <w:pPr>
              <w:pStyle w:val="Compact"/>
              <w:jc w:val="center"/>
            </w:pPr>
            <w:r>
              <w:drawing>
                <wp:inline>
                  <wp:extent cx="5334000" cy="3136503"/>
                  <wp:effectExtent b="0" l="0" r="0" t="0"/>
                  <wp:docPr descr="" title="" id="35" name="Picture"/>
                  <a:graphic>
                    <a:graphicData uri="http://schemas.openxmlformats.org/drawingml/2006/picture">
                      <pic:pic>
                        <pic:nvPicPr>
                          <pic:cNvPr descr="./Figures/Low_res/Figure3_workflow.png" id="36" name="Picture"/>
                          <pic:cNvPicPr>
                            <a:picLocks noChangeArrowheads="1" noChangeAspect="1"/>
                          </pic:cNvPicPr>
                        </pic:nvPicPr>
                        <pic:blipFill>
                          <a:blip r:embed="rId34"/>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were utilized for training and prediction of the Neural Network model, whereas low-resolution flights were solely employed for prediction purposes.</w:t>
            </w:r>
          </w:p>
          <w:bookmarkEnd w:id="37"/>
        </w:tc>
      </w:tr>
    </w:tbl>
    <w:bookmarkEnd w:id="38"/>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1" w:name="neural-network-model-building"/>
    <w:p>
      <w:pPr>
        <w:pStyle w:val="Heading3"/>
      </w:pPr>
      <w:r>
        <w:t xml:space="preserve">2.4.1 Neural Network model building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A dataset containing photo-interpreted drone reflectance pixels was built to train a Neural Network model with 2 hidden layers. The training pixels were categorized into 7 different classes, representing the various habitats encountered at the different study sites: Sediment, Water, Chlorophyceae, Magnoliopsida, Bacillariophyceae, Phaeophyceae and Rhodophyceae. Only low-altitude flights (Table 1) were used for training purposes because their 8 mm spatial resolution allowied to avoid spectral sub-pixel mixing and to accurately differentiate various vegetation classes. More than 418,000 pixels at 8 mm resolution from the 3 training flights were used to train the model (Table 2). Twenty one variables were used by the model as predictors: 10 raw spectral bands of the Micasense RedEdge Dual MX multispectral camera (ranging from 444 nm to 840 nm), the same 10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3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3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1"/>
    <w:bookmarkStart w:id="42" w:name="validation"/>
    <w:p>
      <w:pPr>
        <w:pStyle w:val="Heading3"/>
      </w:pPr>
      <w:r>
        <w:t xml:space="preserve">2.4.2 Validation</w:t>
      </w:r>
    </w:p>
    <w:p>
      <w:pPr>
        <w:pStyle w:val="FirstParagraph"/>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42"/>
    <w:bookmarkEnd w:id="43"/>
    <w:bookmarkEnd w:id="44"/>
    <w:bookmarkStart w:id="84" w:name="results"/>
    <w:p>
      <w:pPr>
        <w:pStyle w:val="Heading1"/>
      </w:pPr>
      <w:r>
        <w:t xml:space="preserve">3. Results</w:t>
      </w:r>
    </w:p>
    <w:bookmarkStart w:id="65"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model.</w:t>
      </w:r>
    </w:p>
    <w:bookmarkStart w:id="49" w:name="cell-fig-GafLow"/>
    <w:tbl>
      <w:tblPr>
        <w:tblStyle w:val="Table"/>
        <w:tblW w:type="pct" w:w="5000"/>
        <w:tblLook w:firstRow="0" w:lastRow="0" w:firstColumn="0" w:lastColumn="0" w:noHBand="0" w:noVBand="0" w:val="0000"/>
        <w:jc w:val="start"/>
        <w:tblLayout w:type="fixed"/>
      </w:tblPr>
      <w:tblGrid>
        <w:gridCol w:w="7920"/>
      </w:tblGrid>
      <w:tr>
        <w:tc>
          <w:tcPr/>
          <w:bookmarkStart w:id="48" w:name="fig-GafLow"/>
          <w:p>
            <w:pPr>
              <w:pStyle w:val="Compact"/>
              <w:jc w:val="center"/>
            </w:pPr>
            <w:r>
              <w:drawing>
                <wp:inline>
                  <wp:extent cx="4697385" cy="2467962"/>
                  <wp:effectExtent b="0" l="0" r="0" t="0"/>
                  <wp:docPr descr="" title="" id="46" name="Picture"/>
                  <a:graphic>
                    <a:graphicData uri="http://schemas.openxmlformats.org/drawingml/2006/picture">
                      <pic:pic>
                        <pic:nvPicPr>
                          <pic:cNvPr descr="./Figures/Low_res/Maps%20Pred/FigX-Gaf_Low_Pred.png" id="47" name="Picture"/>
                          <pic:cNvPicPr>
                            <a:picLocks noChangeArrowheads="1" noChangeAspect="1"/>
                          </pic:cNvPicPr>
                        </pic:nvPicPr>
                        <pic:blipFill>
                          <a:blip r:embed="rId45"/>
                          <a:stretch>
                            <a:fillRect/>
                          </a:stretch>
                        </pic:blipFill>
                        <pic:spPr bwMode="auto">
                          <a:xfrm>
                            <a:off x="0" y="0"/>
                            <a:ext cx="4697385" cy="2467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48"/>
        </w:tc>
      </w:tr>
    </w:tbl>
    <w:bookmarkEnd w:id="49"/>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due to sunglint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though some pixels were classified as Magnoliopsida. Patches of Rhodophyceae were correctly classified. In the nothern part of the scene, near the land limit, patches of</w:t>
      </w:r>
      <w:r>
        <w:t xml:space="preserve"> </w:t>
      </w:r>
      <w:r>
        <w:rPr>
          <w:iCs/>
          <w:i/>
        </w:rPr>
        <w:t xml:space="preserve">Spartina sp.</w:t>
      </w:r>
      <w:r>
        <w:t xml:space="preserve"> </w:t>
      </w:r>
      <w:r>
        <w:t xml:space="preserve">were misclassified, either as Magnoliopsida or as Phaeophyceae.</w:t>
      </w:r>
    </w:p>
    <w:bookmarkStart w:id="54" w:name="cell-fig-GafHigh"/>
    <w:tbl>
      <w:tblPr>
        <w:tblStyle w:val="Table"/>
        <w:tblW w:type="pct" w:w="5000"/>
        <w:tblLook w:firstRow="0" w:lastRow="0" w:firstColumn="0" w:lastColumn="0" w:noHBand="0" w:noVBand="0" w:val="0000"/>
        <w:jc w:val="start"/>
        <w:tblLayout w:type="fixed"/>
      </w:tblPr>
      <w:tblGrid>
        <w:gridCol w:w="7920"/>
      </w:tblGrid>
      <w:tr>
        <w:tc>
          <w:tcPr/>
          <w:bookmarkStart w:id="53" w:name="fig-GafHigh"/>
          <w:p>
            <w:pPr>
              <w:pStyle w:val="Compact"/>
              <w:jc w:val="center"/>
            </w:pPr>
            <w:r>
              <w:drawing>
                <wp:inline>
                  <wp:extent cx="3914488" cy="3333431"/>
                  <wp:effectExtent b="0" l="0" r="0" t="0"/>
                  <wp:docPr descr="" title="" id="51" name="Picture"/>
                  <a:graphic>
                    <a:graphicData uri="http://schemas.openxmlformats.org/drawingml/2006/picture">
                      <pic:pic>
                        <pic:nvPicPr>
                          <pic:cNvPr descr="./Figures/Low_res/Maps%20Pred/FigX-Gaf_High_Pred.png" id="52" name="Picture"/>
                          <pic:cNvPicPr>
                            <a:picLocks noChangeArrowheads="1" noChangeAspect="1"/>
                          </pic:cNvPicPr>
                        </pic:nvPicPr>
                        <pic:blipFill>
                          <a:blip r:embed="rId50"/>
                          <a:stretch>
                            <a:fillRect/>
                          </a:stretch>
                        </pic:blipFill>
                        <pic:spPr bwMode="auto">
                          <a:xfrm>
                            <a:off x="0" y="0"/>
                            <a:ext cx="3914488"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3"/>
        </w:tc>
      </w:tr>
    </w:tbl>
    <w:bookmarkEnd w:id="54"/>
    <w:p>
      <w:pPr>
        <w:pStyle w:val="BodyText"/>
      </w:pPr>
      <w:r>
        <w:t xml:space="preserve">The high altitude flight acquired over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provided consistent results, with a patchy Magnoliopsida meadow mixed with Rhodophyceae on the eastern part of the scene. As shown in the zoom (</w:t>
      </w:r>
      <w:hyperlink w:anchor="fig-Boat">
        <w:r>
          <w:rPr>
            <w:rStyle w:val="Hyperlink"/>
          </w:rPr>
          <w:t xml:space="preserve">Figure 6</w:t>
        </w:r>
      </w:hyperlink>
      <w:r>
        <w:t xml:space="preserve">), the edges of the meadow can be colonised by Chlorophyceae.</w:t>
      </w:r>
    </w:p>
    <w:bookmarkStart w:id="59" w:name="cell-fig-Boat"/>
    <w:tbl>
      <w:tblPr>
        <w:tblStyle w:val="Table"/>
        <w:tblW w:type="pct" w:w="5000"/>
        <w:tblLook w:firstRow="0" w:lastRow="0" w:firstColumn="0" w:lastColumn="0" w:noHBand="0" w:noVBand="0" w:val="0000"/>
        <w:jc w:val="start"/>
        <w:tblLayout w:type="fixed"/>
      </w:tblPr>
      <w:tblGrid>
        <w:gridCol w:w="7920"/>
      </w:tblGrid>
      <w:tr>
        <w:tc>
          <w:tcPr/>
          <w:bookmarkStart w:id="58" w:name="fig-Boat"/>
          <w:p>
            <w:pPr>
              <w:pStyle w:val="Compact"/>
              <w:jc w:val="center"/>
            </w:pPr>
            <w:r>
              <w:drawing>
                <wp:inline>
                  <wp:extent cx="2706501" cy="3425177"/>
                  <wp:effectExtent b="0" l="0" r="0" t="0"/>
                  <wp:docPr descr="" title="" id="56" name="Picture"/>
                  <a:graphic>
                    <a:graphicData uri="http://schemas.openxmlformats.org/drawingml/2006/picture">
                      <pic:pic>
                        <pic:nvPicPr>
                          <pic:cNvPr descr="./Figures/Low_res/Maps%20Pred/FigX-Boat_Pred.png" id="57" name="Picture"/>
                          <pic:cNvPicPr>
                            <a:picLocks noChangeArrowheads="1" noChangeAspect="1"/>
                          </pic:cNvPicPr>
                        </pic:nvPicPr>
                        <pic:blipFill>
                          <a:blip r:embed="rId55"/>
                          <a:stretch>
                            <a:fillRect/>
                          </a:stretch>
                        </pic:blipFill>
                        <pic:spPr bwMode="auto">
                          <a:xfrm>
                            <a:off x="0" y="0"/>
                            <a:ext cx="2706501"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58"/>
        </w:tc>
      </w:tr>
    </w:tbl>
    <w:bookmarkEnd w:id="59"/>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attached to rocks and stranded green algae could be found. Despite the high mixture between Chlorophyceae and Magnoliopsida these two classes were correctly discriminated by the classifier.</w:t>
      </w:r>
    </w:p>
    <w:bookmarkStart w:id="64" w:name="cell-fig-Dike"/>
    <w:tbl>
      <w:tblPr>
        <w:tblStyle w:val="Table"/>
        <w:tblW w:type="pct" w:w="5000"/>
        <w:tblLook w:firstRow="0" w:lastRow="0" w:firstColumn="0" w:lastColumn="0" w:noHBand="0" w:noVBand="0" w:val="0000"/>
        <w:jc w:val="start"/>
        <w:tblLayout w:type="fixed"/>
      </w:tblPr>
      <w:tblGrid>
        <w:gridCol w:w="7920"/>
      </w:tblGrid>
      <w:tr>
        <w:tc>
          <w:tcPr/>
          <w:bookmarkStart w:id="63" w:name="fig-Dike"/>
          <w:p>
            <w:pPr>
              <w:pStyle w:val="Compact"/>
              <w:jc w:val="center"/>
            </w:pPr>
            <w:r>
              <w:drawing>
                <wp:inline>
                  <wp:extent cx="3302849" cy="2752374"/>
                  <wp:effectExtent b="0" l="0" r="0" t="0"/>
                  <wp:docPr descr="" title="" id="61" name="Picture"/>
                  <a:graphic>
                    <a:graphicData uri="http://schemas.openxmlformats.org/drawingml/2006/picture">
                      <pic:pic>
                        <pic:nvPicPr>
                          <pic:cNvPr descr="./Figures/Low_res/Maps%20Pred/FigX-Dike_Pred.png" id="62" name="Picture"/>
                          <pic:cNvPicPr>
                            <a:picLocks noChangeArrowheads="1" noChangeAspect="1"/>
                          </pic:cNvPicPr>
                        </pic:nvPicPr>
                        <pic:blipFill>
                          <a:blip r:embed="rId60"/>
                          <a:stretch>
                            <a:fillRect/>
                          </a:stretch>
                        </pic:blipFill>
                        <pic:spPr bwMode="auto">
                          <a:xfrm>
                            <a:off x="0" y="0"/>
                            <a:ext cx="3302849"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3"/>
        </w:tc>
      </w:tr>
    </w:tbl>
    <w:bookmarkEnd w:id="64"/>
    <w:bookmarkEnd w:id="65"/>
    <w:bookmarkStart w:id="71" w:name="validation-1"/>
    <w:p>
      <w:pPr>
        <w:pStyle w:val="Heading2"/>
      </w:pPr>
      <w:r>
        <w:t xml:space="preserve">3.2 Validation</w:t>
      </w:r>
    </w:p>
    <w:bookmarkStart w:id="70" w:name="cell-fig-Validation"/>
    <w:tbl>
      <w:tblPr>
        <w:tblStyle w:val="Table"/>
        <w:tblW w:type="pct" w:w="5000"/>
        <w:tblLook w:firstRow="0" w:lastRow="0" w:firstColumn="0" w:lastColumn="0" w:noHBand="0" w:noVBand="0" w:val="0000"/>
        <w:jc w:val="start"/>
        <w:tblLayout w:type="fixed"/>
      </w:tblPr>
      <w:tblGrid>
        <w:gridCol w:w="7920"/>
      </w:tblGrid>
      <w:tr>
        <w:tc>
          <w:tcPr/>
          <w:bookmarkStart w:id="69" w:name="fig-Validation"/>
          <w:p>
            <w:pPr>
              <w:pStyle w:val="Compact"/>
              <w:jc w:val="center"/>
            </w:pPr>
            <w:r>
              <w:drawing>
                <wp:inline>
                  <wp:extent cx="4731026" cy="3104066"/>
                  <wp:effectExtent b="0" l="0" r="0" t="0"/>
                  <wp:docPr descr="" title="" id="67" name="Picture"/>
                  <a:graphic>
                    <a:graphicData uri="http://schemas.openxmlformats.org/drawingml/2006/picture">
                      <pic:pic>
                        <pic:nvPicPr>
                          <pic:cNvPr descr="./Figures/Low_res/Validation/ConfusionMatrixGlobal.png" id="68" name="Picture"/>
                          <pic:cNvPicPr>
                            <a:picLocks noChangeArrowheads="1" noChangeAspect="1"/>
                          </pic:cNvPicPr>
                        </pic:nvPicPr>
                        <pic:blipFill>
                          <a:blip r:embed="rId66"/>
                          <a:stretch>
                            <a:fillRect/>
                          </a:stretch>
                        </pic:blipFill>
                        <pic:spPr bwMode="auto">
                          <a:xfrm>
                            <a:off x="0" y="0"/>
                            <a:ext cx="4731026" cy="31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69"/>
        </w:tc>
      </w:tr>
    </w:tbl>
    <w:bookmarkEnd w:id="70"/>
    <w:p>
      <w:pPr>
        <w:pStyle w:val="BodyText"/>
      </w:pPr>
      <w:r>
        <w:t xml:space="preserve">A total of 536,000 pixels was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8</w:t>
        </w:r>
      </w:hyperlink>
      <w:r>
        <w:t xml:space="preserve">). The least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between Magnoliopsida and Sediment.</w:t>
      </w:r>
    </w:p>
    <w:bookmarkEnd w:id="71"/>
    <w:bookmarkStart w:id="77" w:name="variable-importance"/>
    <w:p>
      <w:pPr>
        <w:pStyle w:val="Heading2"/>
      </w:pPr>
      <w:r>
        <w:t xml:space="preserve">3.3 Variable importance</w:t>
      </w:r>
    </w:p>
    <w:bookmarkStart w:id="76" w:name="cell-fig-VIP"/>
    <w:tbl>
      <w:tblPr>
        <w:tblStyle w:val="Table"/>
        <w:tblW w:type="pct" w:w="5000"/>
        <w:tblLook w:firstRow="0" w:lastRow="0" w:firstColumn="0" w:lastColumn="0" w:noHBand="0" w:noVBand="0" w:val="0000"/>
        <w:jc w:val="start"/>
        <w:tblLayout w:type="fixed"/>
      </w:tblPr>
      <w:tblGrid>
        <w:gridCol w:w="7920"/>
      </w:tblGrid>
      <w:tr>
        <w:tc>
          <w:tcPr/>
          <w:bookmarkStart w:id="75" w:name="fig-VIP"/>
          <w:p>
            <w:pPr>
              <w:pStyle w:val="Compact"/>
              <w:jc w:val="center"/>
            </w:pPr>
            <w:r>
              <w:drawing>
                <wp:inline>
                  <wp:extent cx="4721851" cy="3452701"/>
                  <wp:effectExtent b="0" l="0" r="0" t="0"/>
                  <wp:docPr descr="" title="" id="73" name="Picture"/>
                  <a:graphic>
                    <a:graphicData uri="http://schemas.openxmlformats.org/drawingml/2006/picture">
                      <pic:pic>
                        <pic:nvPicPr>
                          <pic:cNvPr descr="Figures/Low_res/VIP/Fig_VIP.png" id="74" name="Picture"/>
                          <pic:cNvPicPr>
                            <a:picLocks noChangeArrowheads="1" noChangeAspect="1"/>
                          </pic:cNvPicPr>
                        </pic:nvPicPr>
                        <pic:blipFill>
                          <a:blip r:embed="rId7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w:t>
            </w:r>
          </w:p>
          <w:bookmarkEnd w:id="75"/>
        </w:tc>
      </w:tr>
    </w:tbl>
    <w:bookmarkEnd w:id="76"/>
    <w:p>
      <w:pPr>
        <w:pStyle w:val="BodyText"/>
      </w:pPr>
      <w:r>
        <w:t xml:space="preserve">The computation of the variable importance makes it possible to identify which wavelengths are the most useful for class prediction (</w:t>
      </w:r>
      <w:hyperlink w:anchor="fig-VIP">
        <w:r>
          <w:rPr>
            <w:rStyle w:val="Hyperlink"/>
          </w:rPr>
          <w:t xml:space="preserve">Figure 9</w:t>
        </w:r>
      </w:hyperlink>
      <w:r>
        <w:t xml:space="preserve">). The spectral bands at 444 , 717 and 842 nm of the Micasense camera are important for none of the vegetation classes. The band at 531 nm is the only important predictor for the classifier to accurately predict chlorophyceae. In fact, at this wavelength, the Chlorophyceae spectra has the maximum reflectance among of all vegetation classes. The bands at 531 and 740 nm are the most important predictors for Phaeophyceae, corresponding to the minimum reflectance among all classes. Bands at 475 and 560 nm are the most important predictors for Bacillariophyceae and Rhodophyceae, respectively. Four predictors, ranging from the green (560 nm) to the RedEdge (705 nm) bands are important to accurately predict magnoliopsida.</w:t>
      </w:r>
    </w:p>
    <w:bookmarkEnd w:id="77"/>
    <w:bookmarkStart w:id="83" w:name="X6a711a8597cc737f9b42c32ad76cef126d40d45"/>
    <w:p>
      <w:pPr>
        <w:pStyle w:val="Heading2"/>
      </w:pPr>
      <w:r>
        <w:t xml:space="preserve">3.4 Effect of the flight height on the prediction</w:t>
      </w:r>
    </w:p>
    <w:bookmarkStart w:id="82" w:name="cell-fig-upscaling"/>
    <w:tbl>
      <w:tblPr>
        <w:tblStyle w:val="Table"/>
        <w:tblW w:type="pct" w:w="5000"/>
        <w:tblLook w:firstRow="0" w:lastRow="0" w:firstColumn="0" w:lastColumn="0" w:noHBand="0" w:noVBand="0" w:val="0000"/>
        <w:jc w:val="start"/>
        <w:tblLayout w:type="fixed"/>
      </w:tblPr>
      <w:tblGrid>
        <w:gridCol w:w="7920"/>
      </w:tblGrid>
      <w:tr>
        <w:tc>
          <w:tcPr/>
          <w:bookmarkStart w:id="81" w:name="fig-upscaling"/>
          <w:p>
            <w:pPr>
              <w:pStyle w:val="Compact"/>
              <w:jc w:val="center"/>
            </w:pPr>
            <w:r>
              <w:drawing>
                <wp:inline>
                  <wp:extent cx="2547475" cy="3419060"/>
                  <wp:effectExtent b="0" l="0" r="0" t="0"/>
                  <wp:docPr descr="" title="" id="79" name="Picture"/>
                  <a:graphic>
                    <a:graphicData uri="http://schemas.openxmlformats.org/drawingml/2006/picture">
                      <pic:pic>
                        <pic:nvPicPr>
                          <pic:cNvPr descr="Figures/Low_res/Upscaling/density_vs_Proportion.png" id="80" name="Picture"/>
                          <pic:cNvPicPr>
                            <a:picLocks noChangeArrowheads="1" noChangeAspect="1"/>
                          </pic:cNvPicPr>
                        </pic:nvPicPr>
                        <pic:blipFill>
                          <a:blip r:embed="rId78"/>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1"/>
        </w:tc>
      </w:tr>
    </w:tbl>
    <w:bookmarkEnd w:id="82"/>
    <w:p>
      <w:pPr>
        <w:pStyle w:val="BodyText"/>
      </w:pPr>
      <w:r>
        <w:t xml:space="preserve">Using the very high precision low altitude flight, we determined the minimal percent cover required to classify correctly classify a given class using the high altitude flight (</w:t>
      </w:r>
      <w:hyperlink w:anchor="fig-upscaling">
        <w:r>
          <w:rPr>
            <w:rStyle w:val="Hyperlink"/>
          </w:rPr>
          <w:t xml:space="preserve">Figure 10</w:t>
        </w:r>
      </w:hyperlink>
      <w:r>
        <w:t xml:space="preserve">).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3"/>
    <w:bookmarkEnd w:id="84"/>
    <w:bookmarkStart w:id="103" w:name="discussion"/>
    <w:p>
      <w:pPr>
        <w:pStyle w:val="Heading1"/>
      </w:pPr>
      <w:r>
        <w:t xml:space="preserve">4. Discussion</w:t>
      </w:r>
    </w:p>
    <w:p>
      <w:pPr>
        <w:pStyle w:val="FirstParagraph"/>
      </w:pPr>
      <w:r>
        <w:t xml:space="preserve">The primary objective of this study was to develop a method for the accurate classification of macrophytes on intertidal mudflats, specifically focusing on distinguishing between Chlorophyceae (green algae) and marine Magnoliopsida (seagrasses) using multispectral drone data. The challenge arises from the shared pigment composition between these two vegetation classes, complicating their differentiation using remote sensing techniques. This challenge has been addressed through the utilization of high-resolution drone flights allowing a precise photointerpretation of pure pixels of the different vegetation classes used as training data, providing a robust foundation for subsequent classification analyses. In achieving 94.26 accuracy across all study sites, this method demonstrates its efficacy in accurately classifying macrophytes, thus offering a reliable approach for vegetation classification in intertidal mudflats using remote sensing data.</w:t>
      </w:r>
    </w:p>
    <w:bookmarkStart w:id="95" w:name="vegetation-discrimination"/>
    <w:p>
      <w:pPr>
        <w:pStyle w:val="Heading2"/>
      </w:pPr>
      <w:r>
        <w:t xml:space="preserve">4.1 Vegetation Discrimination</w:t>
      </w:r>
    </w:p>
    <w:bookmarkStart w:id="89" w:name="cell-fig-Pigm"/>
    <w:tbl>
      <w:tblPr>
        <w:tblStyle w:val="Table"/>
        <w:tblW w:type="pct" w:w="5000"/>
        <w:tblLook w:firstRow="0" w:lastRow="0" w:firstColumn="0" w:lastColumn="0" w:noHBand="0" w:noVBand="0" w:val="0000"/>
        <w:jc w:val="start"/>
        <w:tblLayout w:type="fixed"/>
      </w:tblPr>
      <w:tblGrid>
        <w:gridCol w:w="7920"/>
      </w:tblGrid>
      <w:tr>
        <w:tc>
          <w:tcPr/>
          <w:bookmarkStart w:id="88" w:name="fig-Pigm"/>
          <w:p>
            <w:pPr>
              <w:pStyle w:val="Compact"/>
              <w:jc w:val="center"/>
            </w:pPr>
            <w:r>
              <w:drawing>
                <wp:inline>
                  <wp:extent cx="3718763" cy="1660599"/>
                  <wp:effectExtent b="0" l="0" r="0" t="0"/>
                  <wp:docPr descr="" title="" id="86" name="Picture"/>
                  <a:graphic>
                    <a:graphicData uri="http://schemas.openxmlformats.org/drawingml/2006/picture">
                      <pic:pic>
                        <pic:nvPicPr>
                          <pic:cNvPr descr="./Figures/Low_res/Disc_Pigment_Table.png" id="87" name="Picture"/>
                          <pic:cNvPicPr>
                            <a:picLocks noChangeArrowheads="1" noChangeAspect="1"/>
                          </pic:cNvPicPr>
                        </pic:nvPicPr>
                        <pic:blipFill>
                          <a:blip r:embed="rId85"/>
                          <a:stretch>
                            <a:fillRect/>
                          </a:stretch>
                        </pic:blipFill>
                        <pic:spPr bwMode="auto">
                          <a:xfrm>
                            <a:off x="0" y="0"/>
                            <a:ext cx="3718763" cy="16605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88"/>
        </w:tc>
      </w:tr>
    </w:tbl>
    <w:bookmarkEnd w:id="89"/>
    <w:p>
      <w:pPr>
        <w:pStyle w:val="BodyText"/>
      </w:pPr>
      <w:r>
        <w:t xml:space="preserve">The discrimination of seagrasses from green macroalgae presents significant challenges, primarily due to the shared pigment composition between these taxa, as depicted in</w:t>
      </w:r>
      <w:r>
        <w:t xml:space="preserve"> </w:t>
      </w:r>
      <w:hyperlink w:anchor="fig-Pigm">
        <w:r>
          <w:rPr>
            <w:rStyle w:val="Hyperlink"/>
          </w:rPr>
          <w:t xml:space="preserve">Figure 11</w:t>
        </w:r>
      </w:hyperlink>
      <w:r>
        <w:t xml:space="preserve"> </w:t>
      </w:r>
      <w:r>
        <w:t xml:space="preserve">but also by the frequent spatial mixing of these green macrophytes. This similarity in pigment composition, including photosynthetic and carotenoid pigments like chlorophyll b and c, fucoxanthin, and neoxanthin, results in spectral signatures that are often indistinguishable to non exper eyes.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utilizing high-resolution drone imagery with 10 spectral bands.</w:t>
      </w:r>
      <w:r>
        <w:t xml:space="preserve"> </w:t>
      </w:r>
      <w:r>
        <w:t xml:space="preserve">Davies et al. (2023a)</w:t>
      </w:r>
      <w:r>
        <w:t xml:space="preserve"> </w:t>
      </w:r>
      <w:r>
        <w:t xml:space="preserve">has shown that having at least 8 spectral bands ranging between 500 nm to 850 nm with including a band at 530 nm and another one at 730 nm is crucial to accurately discriminate green macrophytes.</w:t>
      </w:r>
    </w:p>
    <w:bookmarkStart w:id="94" w:name="cell-fig-ValidationGreen"/>
    <w:tbl>
      <w:tblPr>
        <w:tblStyle w:val="Table"/>
        <w:tblW w:type="pct" w:w="5000"/>
        <w:tblLook w:firstRow="0" w:lastRow="0" w:firstColumn="0" w:lastColumn="0" w:noHBand="0" w:noVBand="0" w:val="0000"/>
        <w:jc w:val="start"/>
        <w:tblLayout w:type="fixed"/>
      </w:tblPr>
      <w:tblGrid>
        <w:gridCol w:w="7920"/>
      </w:tblGrid>
      <w:tr>
        <w:tc>
          <w:tcPr/>
          <w:bookmarkStart w:id="93" w:name="fig-ValidationGreen"/>
          <w:p>
            <w:pPr>
              <w:pStyle w:val="Compact"/>
              <w:jc w:val="center"/>
            </w:pPr>
            <w:r>
              <w:drawing>
                <wp:inline>
                  <wp:extent cx="2709559" cy="1932778"/>
                  <wp:effectExtent b="0" l="0" r="0" t="0"/>
                  <wp:docPr descr="" title="" id="91" name="Picture"/>
                  <a:graphic>
                    <a:graphicData uri="http://schemas.openxmlformats.org/drawingml/2006/picture">
                      <pic:pic>
                        <pic:nvPicPr>
                          <pic:cNvPr descr="./Figures/Low_res/Validation/ConfusionMatrixGreen.png" id="92" name="Picture"/>
                          <pic:cNvPicPr>
                            <a:picLocks noChangeArrowheads="1" noChangeAspect="1"/>
                          </pic:cNvPicPr>
                        </pic:nvPicPr>
                        <pic:blipFill>
                          <a:blip r:embed="rId90"/>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matrice indicate the number of pixels.</w:t>
            </w:r>
          </w:p>
          <w:bookmarkEnd w:id="93"/>
        </w:tc>
      </w:tr>
    </w:tbl>
    <w:bookmarkEnd w:id="94"/>
    <w:p>
      <w:pPr>
        <w:pStyle w:val="BodyText"/>
      </w:pPr>
      <w:r>
        <w:t xml:space="preserve">The Micasense RedEdge-MX DUAL camera used in this study meets these two criteria, enabling the classifier to achieve 97% of accuracy between these two classes (</w:t>
      </w:r>
      <w:hyperlink w:anchor="fig-ValidationGreen">
        <w:r>
          <w:rPr>
            <w:rStyle w:val="Hyperlink"/>
          </w:rPr>
          <w:t xml:space="preserve">Figure 12</w:t>
        </w:r>
      </w:hyperlink>
      <w:r>
        <w:t xml:space="preserve">). Even if the pigment compostion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or proportion, different cellular organisation and 3D disposition of the plant a whole on the intertidal mudflat</w:t>
      </w:r>
      <w:r>
        <w:t xml:space="preserve"> </w:t>
      </w:r>
      <w:r>
        <w:t xml:space="preserve">Hedley et al. (2018)</w:t>
      </w:r>
      <w:r>
        <w:t xml:space="preserve">.</w:t>
      </w:r>
    </w:p>
    <w:p>
      <w:pPr>
        <w:pStyle w:val="BodyText"/>
      </w:pPr>
      <w:r>
        <w:t xml:space="preserve">The VIP analysis of the Neural Network model (</w:t>
      </w:r>
      <w:hyperlink w:anchor="fig-VIP">
        <w:r>
          <w:rPr>
            <w:rStyle w:val="Hyperlink"/>
          </w:rPr>
          <w:t xml:space="preserve">Figure 9</w:t>
        </w:r>
      </w:hyperlink>
      <w:r>
        <w:t xml:space="preserve">) shows that the 531 nm band is the most important spectral band for accurately identifying Chlorophyceae. In fact, at this wavelength, Chlorophyceae exhibits the highest reflectance among all other classes, highlighting the difference in accessories carotenoid proportion between seagrasses and green algae</w:t>
      </w:r>
      <w:r>
        <w:t xml:space="preserve"> </w:t>
      </w:r>
      <w:r>
        <w:t xml:space="preserve">(Repolho et al., 2017)</w:t>
      </w:r>
      <w:r>
        <w:t xml:space="preserve">.</w:t>
      </w:r>
    </w:p>
    <w:p>
      <w:pPr>
        <w:pStyle w:val="BodyText"/>
      </w:pPr>
      <w:r>
        <w:t xml:space="preserve">Concerning Phaeophyceae, the thick cell walls of plant of this class make it really reflective in the infrared part of the spectra whereas the presence of Fucoxanthin and Zeaxanthin result in a low reflectance in the visible part of the electromagnetic spectra. These two key features has been identified by the Neural Network as the two principal predictors to accurately identify Brown algae (</w:t>
      </w:r>
      <w:hyperlink w:anchor="fig-VIP">
        <w:r>
          <w:rPr>
            <w:rStyle w:val="Hyperlink"/>
          </w:rPr>
          <w:t xml:space="preserve">Figure 9</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9</w:t>
        </w:r>
      </w:hyperlink>
      <w:r>
        <w:t xml:space="preserve">). The band at 560 nm has been identified as important for accurately identifying this class Resolution impact on the prediction. Regarding Bacillariophyceae, the VIP analysis (</w:t>
      </w:r>
      <w:hyperlink w:anchor="fig-VIP">
        <w:r>
          <w:rPr>
            <w:rStyle w:val="Hyperlink"/>
          </w:rPr>
          <w:t xml:space="preserve">Figure 9</w:t>
        </w:r>
      </w:hyperlink>
      <w:r>
        <w:t xml:space="preserve">) indicates that 475 nm is the most important predictor for this class. This could be attributed to the absence of lutein, neoxanthin, and zeaxanthin in diatoms, absorbing in the blue part of spectra, resulting in the highest visible reflectance among all classes. Furethemore, it is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95"/>
    <w:bookmarkStart w:id="101" w:name="X17e462932d173882a468a95b44db59776e80f51"/>
    <w:p>
      <w:pPr>
        <w:pStyle w:val="Heading2"/>
      </w:pPr>
      <w:r>
        <w:t xml:space="preserve">4.2 Spectral Spatial Temporal Resolution impact on the prediction</w:t>
      </w:r>
    </w:p>
    <w:bookmarkStart w:id="100" w:name="cell-fig-CompareRef"/>
    <w:tbl>
      <w:tblPr>
        <w:tblStyle w:val="Table"/>
        <w:tblW w:type="pct" w:w="5000"/>
        <w:tblLook w:firstRow="0" w:lastRow="0" w:firstColumn="0" w:lastColumn="0" w:noHBand="0" w:noVBand="0" w:val="0000"/>
        <w:jc w:val="start"/>
        <w:tblLayout w:type="fixed"/>
      </w:tblPr>
      <w:tblGrid>
        <w:gridCol w:w="7920"/>
      </w:tblGrid>
      <w:tr>
        <w:tc>
          <w:tcPr/>
          <w:bookmarkStart w:id="99" w:name="fig-CompareRef"/>
          <w:p>
            <w:pPr>
              <w:pStyle w:val="Compact"/>
              <w:jc w:val="center"/>
            </w:pPr>
            <w:r>
              <w:drawing>
                <wp:inline>
                  <wp:extent cx="5334000" cy="2667000"/>
                  <wp:effectExtent b="0" l="0" r="0" t="0"/>
                  <wp:docPr descr="" title="" id="97" name="Picture"/>
                  <a:graphic>
                    <a:graphicData uri="http://schemas.openxmlformats.org/drawingml/2006/picture">
                      <pic:pic>
                        <pic:nvPicPr>
                          <pic:cNvPr descr="index_files/figure-docx/fig-CompareRef-1.pn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red dashed line represents a linear model wheras the black dashed line represents a 1 to 1 relationship. Left (A) plots RAW data and right (B) plots standardise data.</w:t>
            </w:r>
          </w:p>
          <w:bookmarkEnd w:id="99"/>
        </w:tc>
      </w:tr>
    </w:tbl>
    <w:bookmarkEnd w:id="100"/>
    <w:p>
      <w:pPr>
        <w:pStyle w:val="BodyText"/>
      </w:pPr>
      <w:r>
        <w:t xml:space="preserve">In this study, a key innovation lies in the utilization of two different altitudes (12m and 120m) for constructing the neural network model. The lower altitude flights (8mm spatial resolution) enable precise selection of pure pixels representing the classes used in the neural network model. This methodology implies a consistency between the reflectance of both altitude.</w:t>
      </w:r>
      <w:r>
        <w:t xml:space="preserve"> </w:t>
      </w:r>
      <w:hyperlink w:anchor="fig-CompareRef">
        <w:r>
          <w:rPr>
            <w:rStyle w:val="Hyperlink"/>
          </w:rPr>
          <w:t xml:space="preserve">Figure 13</w:t>
        </w:r>
      </w:hyperlink>
      <w:r>
        <w:t xml:space="preserve"> </w:t>
      </w:r>
      <w:r>
        <w:t xml:space="preserve">(A) depicts the relationship between reflectance from a low-altitude flight and a high-altitude flight conducted over the same area. An apparent underestimation of reflectance values is observed in the high-altitude flight, particularly for higher values. Since both flights were conducted over vegetation areas, the highest reflectance values correspond to the infrared part of the spectrum.</w:t>
      </w:r>
    </w:p>
    <w:p>
      <w:pPr>
        <w:pStyle w:val="BodyText"/>
      </w:pPr>
      <w:r>
        <w:t xml:space="preserve">The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13</w:t>
        </w:r>
      </w:hyperlink>
      <w:r>
        <w:t xml:space="preserve"> </w:t>
      </w:r>
      <w:r>
        <w:t xml:space="preserve">(B) ;</w:t>
      </w:r>
      <w:r>
        <w:t xml:space="preserve"> </w:t>
      </w:r>
      <w:r>
        <w:t xml:space="preserve">(Cao et al., 2017)</w:t>
      </w:r>
      <w:r>
        <w:t xml:space="preserve">). This approach allows us to eliminate differences in the level of reflectance, focusing instead on the shape of the spectra. This is a key feature in building a model that can reliably predict vegetation across geographical sites and seasons. It enables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10</w:t>
        </w:r>
      </w:hyperlink>
      <w:r>
        <w:t xml:space="preserve"> </w:t>
      </w:r>
      <w:r>
        <w:t xml:space="preserve">demonstrates that a seagrass cover percentage of 90 % is necessary for confident prediction of seagrass presence. This highlights a limitation of the methodology used to construct the training dataset for the model. The dataset was composed exclusively of pure pixels, which has resulted in the model’s reduced confidence when faced with lower percentages of seagrass cover. Intertidal seagrasses exhibit strong phenology, with varying pigment composition throughout the year</w:t>
      </w:r>
      <w:r>
        <w:t xml:space="preserve">(Bargain et al., 2013 ; Légaré et al., 2022)</w:t>
      </w:r>
      <w:r>
        <w:t xml:space="preserve">. This suggests that outside of the biomass peak of seagrasses, this model may be less accurate. Further investigation is warranted to explore this aspect.</w:t>
      </w:r>
    </w:p>
    <w:bookmarkEnd w:id="101"/>
    <w:bookmarkStart w:id="102" w:name="application-of-the-model"/>
    <w:p>
      <w:pPr>
        <w:pStyle w:val="Heading2"/>
      </w:pPr>
      <w:r>
        <w:t xml:space="preserve">4.3 Application of the model</w:t>
      </w:r>
    </w:p>
    <w:p>
      <w:pPr>
        <w:pStyle w:val="FirstParagraph"/>
      </w:pPr>
      <w:r>
        <w:t xml:space="preserve">Climate change, global warming, alien and invasive species development, coastal erosion, sealevel rise, while further impact coastal ecosystems in the future</w:t>
      </w:r>
      <w:r>
        <w:t xml:space="preserve"> </w:t>
      </w:r>
      <w:r>
        <w:t xml:space="preserve">(Holon et al., 2018 ; Marquet et al., 2024; Schibalski et al., 2022)</w:t>
      </w:r>
      <w:r>
        <w:t xml:space="preserve">. The demand for meaningful and efficient monitoring methods for these habitats has therefore never been greater</w:t>
      </w:r>
      <w:r>
        <w:t xml:space="preserve"> </w:t>
      </w:r>
      <w:r>
        <w:t xml:space="preserve">(Muller-Karger et al., 2018 ; Villalobos Perna et al., 2023 ; Oiry and Barillé, 2021)</w:t>
      </w:r>
      <w:r>
        <w:t xml:space="preserve">. Employing traditional sampling methods to monitor these ecosystems is time and resource-intensive, and the findings are often difficult to scale up. Earth observation methods can bridge this gap and meet the needs for monitoring coastal ecosystems.</w:t>
      </w:r>
      <w:r>
        <w:t xml:space="preserve"> </w:t>
      </w:r>
      <w:r>
        <w:t xml:space="preserve">(Papathanasopoulou et al., 2019)</w:t>
      </w:r>
      <w:r>
        <w:t xml:space="preserve">. The retrieval of Essential Biodiversity Variables (EBVs) and Essential Ocean Variables (EOVs) through satellite observations is increasingly common, enabling comprehensive monitoring of entire ecosystems over extended time periods</w:t>
      </w:r>
      <w:r>
        <w:t xml:space="preserve"> </w:t>
      </w:r>
      <w:r>
        <w:t xml:space="preserve">(Ratnarajah et al., 2023 ; Zoffoli et al., 2020)</w:t>
      </w:r>
      <w:r>
        <w:t xml:space="preserve">. The significance of monitoring waters, particularly in light of the Water Framework Directive (WFD ;</w:t>
      </w:r>
      <w:r>
        <w:t xml:space="preserve"> </w:t>
      </w:r>
      <w:r>
        <w:t xml:space="preserve">(European-Comission, 2000)</w:t>
      </w:r>
      <w:r>
        <w:t xml:space="preserve">), cannot be overstated in environmental management and conservation efforts. The WFD 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these ecosystems. Drones, with their capability for high-resolution, multispectral imagery, provide a novel and powerful means to rapidly and accurately acquire ground truth data (i.e. output of the model used in the present study). This data is critical for calibrating and validating satellite remote sensing applications, thereby enhancing our capacity to monitor vast coastal areas systematically under the WFD framework. The integration of drone technology facilitates a scalable approach to environmental surveillance, offering significant advancements in the spatial and temporal resolution of data collection. This, in turn, supports the directive’s objectives by enabling more informed and timely management decisions for the preservation and restoration of aquatic ecosystems.</w:t>
      </w:r>
    </w:p>
    <w:bookmarkEnd w:id="102"/>
    <w:bookmarkEnd w:id="103"/>
    <w:bookmarkStart w:id="177" w:name="conclusion"/>
    <w:p>
      <w:pPr>
        <w:pStyle w:val="Heading1"/>
      </w:pPr>
      <w:r>
        <w:t xml:space="preserve">5. Conclusion</w:t>
      </w:r>
    </w:p>
    <w:p>
      <w:pPr>
        <w:pStyle w:val="FirstParagraph"/>
      </w:pPr>
      <w:r>
        <w:t xml:space="preserve">The utilization of drone-based remote sensing coupled with machine learning techniques has proven to be an effective method for the discrimination of seagrasses and macroalgae in coastal ecosystems. This study has highlighted the potential for these technologies to enhance the accuracy and efficiency of habitat monitoring, which is essential for environmental management and conservation strategies. Through the application of high-resolution multispectral imagery, the research contributes to the broader understanding and surveillance of aquatic ecosystems, aligning with objectives outlined in policies such as the Water Framework Directive. The findings underscore the importance of adopting advanced remote sensing tools in ecological studies and environmental monitoring, providing a foundation for future research and policy implementation aimed at ecosystem preservation and restoration.</w:t>
      </w:r>
    </w:p>
    <w:bookmarkStart w:id="176" w:name="refs"/>
    <w:bookmarkStart w:id="104" w:name="ref-adade2021"/>
    <w:p>
      <w:pPr>
        <w:pStyle w:val="Bibliography"/>
      </w:pPr>
      <w:r>
        <w:t xml:space="preserve">Adade, R., Aibinu, A.M., Ekumah, B., Asaana, J., 2021. Unmanned aerial vehicle (UAV) applications in coastal zone management—a review. Environmental Monitoring and Assessment 193, 1–12.</w:t>
      </w:r>
    </w:p>
    <w:bookmarkEnd w:id="104"/>
    <w:bookmarkStart w:id="105"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05"/>
    <w:bookmarkStart w:id="106"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06"/>
    <w:bookmarkStart w:id="107"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07"/>
    <w:bookmarkStart w:id="108" w:name="ref-beach1997vivo"/>
    <w:p>
      <w:pPr>
        <w:pStyle w:val="Bibliography"/>
      </w:pPr>
      <w:r>
        <w:t xml:space="preserve">Beach, K., Borgeas, H., Nishimura, N., Smith, C., 1997. In vivo absorbance spectra and the ecophysiology of reef macroalgae. Coral Reefs 16, 21–28.</w:t>
      </w:r>
    </w:p>
    <w:bookmarkEnd w:id="108"/>
    <w:bookmarkStart w:id="110"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09">
        <w:r>
          <w:rPr>
            <w:rStyle w:val="Hyperlink"/>
          </w:rPr>
          <w:t xml:space="preserve">https://doi.org/10.3390/RS14020307</w:t>
        </w:r>
      </w:hyperlink>
    </w:p>
    <w:bookmarkEnd w:id="110"/>
    <w:bookmarkStart w:id="112"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11">
        <w:r>
          <w:rPr>
            <w:rStyle w:val="Hyperlink"/>
          </w:rPr>
          <w:t xml:space="preserve">https://doi.org/10.1139/cjfas-2016-0137</w:t>
        </w:r>
      </w:hyperlink>
    </w:p>
    <w:bookmarkEnd w:id="112"/>
    <w:bookmarkStart w:id="113" w:name="ref-casella2020"/>
    <w:p>
      <w:pPr>
        <w:pStyle w:val="Bibliography"/>
      </w:pPr>
      <w:r>
        <w:t xml:space="preserve">Casella, E., Drechsel, J., Winter, C., Benninghoff, M., Rovere, A., 2020. Accuracy of sand beach topography surveying by drones and photogrammetry. Geo-Marine Letters 40, 255–268.</w:t>
      </w:r>
    </w:p>
    <w:bookmarkEnd w:id="113"/>
    <w:bookmarkStart w:id="114"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14"/>
    <w:bookmarkStart w:id="115" w:name="ref-collin2019improving"/>
    <w:p>
      <w:pPr>
        <w:pStyle w:val="Bibliography"/>
      </w:pPr>
      <w:r>
        <w:t xml:space="preserve">Collin, A., Dubois, S., James, D., Houet, T., 2019. Improving intertidal reef mapping using UAV surface, red edge, and near-infrared data. Drones 3, 67.</w:t>
      </w:r>
    </w:p>
    <w:bookmarkEnd w:id="115"/>
    <w:bookmarkStart w:id="117"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16">
        <w:r>
          <w:rPr>
            <w:rStyle w:val="Hyperlink"/>
          </w:rPr>
          <w:t xml:space="preserve">https://doi.org/10.1016/j.ecolind.2020.107018</w:t>
        </w:r>
      </w:hyperlink>
    </w:p>
    <w:bookmarkEnd w:id="117"/>
    <w:bookmarkStart w:id="119"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18">
        <w:r>
          <w:rPr>
            <w:rStyle w:val="Hyperlink"/>
          </w:rPr>
          <w:t xml:space="preserve">https://doi.org/10.1016/j.rse.2023.113554</w:t>
        </w:r>
      </w:hyperlink>
    </w:p>
    <w:bookmarkEnd w:id="119"/>
    <w:bookmarkStart w:id="121" w:name="ref-BedeGbif"/>
    <w:p>
      <w:pPr>
        <w:pStyle w:val="Bibliography"/>
      </w:pPr>
      <w:r>
        <w:t xml:space="preserve">Davies, B.F.R., Sousa, A.I., Figueira, R., Oiry, S., Gernez, P., Barillé, L., 2023b. Benthic intertidal vegetation from the tagus estuary and aveiro lagoon.</w:t>
      </w:r>
      <w:r>
        <w:t xml:space="preserve"> </w:t>
      </w:r>
      <w:hyperlink r:id="rId120">
        <w:r>
          <w:rPr>
            <w:rStyle w:val="Hyperlink"/>
          </w:rPr>
          <w:t xml:space="preserve">https://doi.org/10.15468/n4ak6x</w:t>
        </w:r>
      </w:hyperlink>
    </w:p>
    <w:bookmarkEnd w:id="121"/>
    <w:bookmarkStart w:id="122" w:name="ref-devlin2023nutrients"/>
    <w:p>
      <w:pPr>
        <w:pStyle w:val="Bibliography"/>
      </w:pPr>
      <w:r>
        <w:t xml:space="preserve">Devlin, M., Brodie, J., 2023. Nutrients and eutrophication, in: Marine Pollution–Monitoring, Management and Mitigation. Springer, pp. 75–100.</w:t>
      </w:r>
    </w:p>
    <w:bookmarkEnd w:id="122"/>
    <w:bookmarkStart w:id="124" w:name="ref-Douay2022"/>
    <w:p>
      <w:pPr>
        <w:pStyle w:val="Bibliography"/>
      </w:pPr>
      <w:r>
        <w:t xml:space="preserve">Douay, F., Verpoorter, C., Duong, G., Spilmont, N., Gevaert, F., 2022. New hyperspectral procedure to discriminate intertidal macroalgae. Remote Sensing 14.</w:t>
      </w:r>
      <w:r>
        <w:t xml:space="preserve"> </w:t>
      </w:r>
      <w:hyperlink r:id="rId123">
        <w:r>
          <w:rPr>
            <w:rStyle w:val="Hyperlink"/>
          </w:rPr>
          <w:t xml:space="preserve">https://doi.org/10.3390/rs14020346</w:t>
        </w:r>
      </w:hyperlink>
    </w:p>
    <w:bookmarkEnd w:id="124"/>
    <w:bookmarkStart w:id="125"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25"/>
    <w:bookmarkStart w:id="126" w:name="ref-WFD2000"/>
    <w:p>
      <w:pPr>
        <w:pStyle w:val="Bibliography"/>
      </w:pPr>
      <w:r>
        <w:t xml:space="preserve">European-Comission,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26"/>
    <w:bookmarkStart w:id="127"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27"/>
    <w:bookmarkStart w:id="128" w:name="ref-foden2007angiosperms"/>
    <w:p>
      <w:pPr>
        <w:pStyle w:val="Bibliography"/>
      </w:pPr>
      <w:r>
        <w:t xml:space="preserve">Foden, J., Brazier, D., 2007. Angiosperms (seagrass) within the EU water framework directive: A UK perspective. Marine Pollution Bulletin 55, 181–195.</w:t>
      </w:r>
    </w:p>
    <w:bookmarkEnd w:id="128"/>
    <w:bookmarkStart w:id="129" w:name="ref-fyfe2003spatial"/>
    <w:p>
      <w:pPr>
        <w:pStyle w:val="Bibliography"/>
      </w:pPr>
      <w:r>
        <w:t xml:space="preserve">Fyfe, S., 2003. Spatial and temporal variation in spectral reflectance: Are seagrass species spectrally distinct? Limnology and Oceanography 48, 464–479.</w:t>
      </w:r>
    </w:p>
    <w:bookmarkEnd w:id="129"/>
    <w:bookmarkStart w:id="130" w:name="ref-gardner2018"/>
    <w:p>
      <w:pPr>
        <w:pStyle w:val="Bibliography"/>
      </w:pPr>
      <w:r>
        <w:t xml:space="preserve">Gardner, R.C., Finlayson, C., 2018. Global wetland outlook: State of the world’s wetlands and their services to people. Stetson Law.</w:t>
      </w:r>
    </w:p>
    <w:bookmarkEnd w:id="130"/>
    <w:bookmarkStart w:id="131"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31"/>
    <w:bookmarkStart w:id="132"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32"/>
    <w:bookmarkStart w:id="133"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33"/>
    <w:bookmarkStart w:id="134" w:name="ref-joyce2023"/>
    <w:p>
      <w:pPr>
        <w:pStyle w:val="Bibliography"/>
      </w:pPr>
      <w:r>
        <w:t xml:space="preserve">Joyce, K.E., Fickas, K.C., Kalamandeen, M., 2023. The unique value proposition for using drones to map coastal ecosystems. Cambridge Prisms: Coastal Futures 1, e6.</w:t>
      </w:r>
    </w:p>
    <w:bookmarkEnd w:id="134"/>
    <w:bookmarkStart w:id="135" w:name="ref-kirk1994light"/>
    <w:p>
      <w:pPr>
        <w:pStyle w:val="Bibliography"/>
      </w:pPr>
      <w:r>
        <w:t xml:space="preserve">Kirk, J.T., 1994. Light and photosynthesis in aquatic ecosystems. Cambridge university press.</w:t>
      </w:r>
    </w:p>
    <w:bookmarkEnd w:id="135"/>
    <w:bookmarkStart w:id="136"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36"/>
    <w:bookmarkStart w:id="137"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37"/>
    <w:bookmarkStart w:id="138"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38"/>
    <w:bookmarkStart w:id="139"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39"/>
    <w:bookmarkStart w:id="141"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40">
        <w:r>
          <w:rPr>
            <w:rStyle w:val="Hyperlink"/>
          </w:rPr>
          <w:t xml:space="preserve">https://doi.org/10.1111/GCB.14108</w:t>
        </w:r>
      </w:hyperlink>
    </w:p>
    <w:bookmarkEnd w:id="141"/>
    <w:bookmarkStart w:id="142"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42"/>
    <w:bookmarkStart w:id="143" w:name="ref-nguyen2021"/>
    <w:p>
      <w:pPr>
        <w:pStyle w:val="Bibliography"/>
      </w:pPr>
      <w:r>
        <w:t xml:space="preserve">Nguyen, H.M., Ralph, P.J., Marı́n-Guirao, L., Pernice, M., Procaccini, G., 2021. Seagrasses in an era of ocean warming: A review. Biological Reviews 96, 2009–2030.</w:t>
      </w:r>
    </w:p>
    <w:bookmarkEnd w:id="143"/>
    <w:bookmarkStart w:id="144"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44"/>
    <w:bookmarkStart w:id="145"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45"/>
    <w:bookmarkStart w:id="146" w:name="ref-oh2017use"/>
    <w:p>
      <w:pPr>
        <w:pStyle w:val="Bibliography"/>
      </w:pPr>
      <w:r>
        <w:t xml:space="preserve">Oh, J., Kim, D., Lee, H., 2017. Use of a drone for mapping and time series image acquisition of tidal zones. Journal of the Korean Institute of Intelligent Systems 27, 119–125.</w:t>
      </w:r>
    </w:p>
    <w:bookmarkEnd w:id="146"/>
    <w:bookmarkStart w:id="147" w:name="ref-oiry2021using"/>
    <w:p>
      <w:pPr>
        <w:pStyle w:val="Bibliography"/>
      </w:pPr>
      <w:r>
        <w:t xml:space="preserve">Oiry, S., Barillé, L., 2021. Using sentinel-2 satellite imagery to develop microphytobenthos-based water quality indices in estuaries. Ecological Indicators 121, 107184.</w:t>
      </w:r>
    </w:p>
    <w:bookmarkEnd w:id="147"/>
    <w:bookmarkStart w:id="148"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48"/>
    <w:bookmarkStart w:id="149"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49"/>
    <w:bookmarkStart w:id="150" w:name="ref-Pereira2013"/>
    <w:p>
      <w:pPr>
        <w:pStyle w:val="Bibliography"/>
      </w:pPr>
      <w:r>
        <w:t xml:space="preserve">Pereira, H.M., Ferrier, S., Walters, M., Geller, G.N., Jongman, R.H., Scholes, R.J., Bruford, M.W., Brummitt, N., Butchart, S.H., Cardoso, A., others, 2013. Essential biodiversity variables. Science 339, 277–278.</w:t>
      </w:r>
    </w:p>
    <w:bookmarkEnd w:id="150"/>
    <w:bookmarkStart w:id="151"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51"/>
    <w:bookmarkStart w:id="152"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52"/>
    <w:bookmarkStart w:id="153"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53"/>
    <w:bookmarkStart w:id="154"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54"/>
    <w:bookmarkStart w:id="156"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55">
        <w:r>
          <w:rPr>
            <w:rStyle w:val="Hyperlink"/>
          </w:rPr>
          <w:t xml:space="preserve">https://doi.org/10.3389/fmars.2022.1004012</w:t>
        </w:r>
      </w:hyperlink>
    </w:p>
    <w:bookmarkEnd w:id="156"/>
    <w:bookmarkStart w:id="157" w:name="ref-Roman2021"/>
    <w:p>
      <w:pPr>
        <w:pStyle w:val="Bibliography"/>
      </w:pPr>
      <w:r>
        <w:t xml:space="preserve">Román, A., Tovar-Sánchez, A., Olivé, I., Navarro, G., 2021. Using a UAV-mounted multispectral camera for the monitoring of marine macrophytes. Frontiers in Marine Science 1225.</w:t>
      </w:r>
    </w:p>
    <w:bookmarkEnd w:id="157"/>
    <w:bookmarkStart w:id="158" w:name="ref-rossiter2020uav"/>
    <w:p>
      <w:pPr>
        <w:pStyle w:val="Bibliography"/>
      </w:pPr>
      <w:r>
        <w:t xml:space="preserve">Rossiter, T., Furey, T., McCarthy, T., Stengel, D.B., 2020. UAV-mounted hyperspectral mapping of intertidal macroalgae. Estuarine, Coastal and Shelf Science 242, 106789.</w:t>
      </w:r>
    </w:p>
    <w:bookmarkEnd w:id="158"/>
    <w:bookmarkStart w:id="160"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59">
        <w:r>
          <w:rPr>
            <w:rStyle w:val="Hyperlink"/>
          </w:rPr>
          <w:t xml:space="preserve">https://doi.org/10.1016/j.ecoser.2022.101414</w:t>
        </w:r>
      </w:hyperlink>
    </w:p>
    <w:bookmarkEnd w:id="160"/>
    <w:bookmarkStart w:id="161"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61"/>
    <w:bookmarkStart w:id="162"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62"/>
    <w:bookmarkStart w:id="164" w:name="ref-Traganos2018"/>
    <w:p>
      <w:pPr>
        <w:pStyle w:val="Bibliography"/>
      </w:pPr>
      <w:r>
        <w:t xml:space="preserve">Traganos, D., Reinartz, P., 2018. Mapping mediterranean seagrasses with sentinel-2 imagery. Marine Pollution Bulletin 134, 197–209.</w:t>
      </w:r>
      <w:r>
        <w:t xml:space="preserve"> </w:t>
      </w:r>
      <w:hyperlink r:id="rId163">
        <w:r>
          <w:rPr>
            <w:rStyle w:val="Hyperlink"/>
          </w:rPr>
          <w:t xml:space="preserve">https://doi.org/10.1016/j.marpolbul.2017.06.075</w:t>
        </w:r>
      </w:hyperlink>
    </w:p>
    <w:bookmarkEnd w:id="164"/>
    <w:bookmarkStart w:id="165"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65"/>
    <w:bookmarkStart w:id="166" w:name="ref-unsworth2022"/>
    <w:p>
      <w:pPr>
        <w:pStyle w:val="Bibliography"/>
      </w:pPr>
      <w:r>
        <w:t xml:space="preserve">Unsworth, R.K., Cullen-Unsworth, L.C., Jones, B.L., Lilley, R.J., 2022. The planetary role of seagrass conservation. Science 377, 609–613.</w:t>
      </w:r>
    </w:p>
    <w:bookmarkEnd w:id="166"/>
    <w:bookmarkStart w:id="167"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67"/>
    <w:bookmarkStart w:id="168" w:name="ref-wang2022"/>
    <w:p>
      <w:pPr>
        <w:pStyle w:val="Bibliography"/>
      </w:pPr>
      <w:r>
        <w:t xml:space="preserve">Wang, Z., Fang, Z., Liang, J., Song, X., 2022. Assessment of global habitat suitability and risk of ocean green tides. Harmful Algae 119, 102324.</w:t>
      </w:r>
    </w:p>
    <w:bookmarkEnd w:id="168"/>
    <w:bookmarkStart w:id="169"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69"/>
    <w:bookmarkStart w:id="171"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70">
        <w:r>
          <w:rPr>
            <w:rStyle w:val="Hyperlink"/>
          </w:rPr>
          <w:t xml:space="preserve">https://doi.org/10.1016/j.ecolind.2021.108033</w:t>
        </w:r>
      </w:hyperlink>
    </w:p>
    <w:bookmarkEnd w:id="171"/>
    <w:bookmarkStart w:id="173"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72">
        <w:r>
          <w:rPr>
            <w:rStyle w:val="Hyperlink"/>
          </w:rPr>
          <w:t xml:space="preserve">https://doi.org/10.1002/rse2.319</w:t>
        </w:r>
      </w:hyperlink>
    </w:p>
    <w:bookmarkEnd w:id="173"/>
    <w:bookmarkStart w:id="175"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174">
        <w:r>
          <w:rPr>
            <w:rStyle w:val="Hyperlink"/>
          </w:rPr>
          <w:t xml:space="preserve">https://doi.org/10.1016/j.rse.2020.112020</w:t>
        </w:r>
      </w:hyperlink>
    </w:p>
    <w:bookmarkEnd w:id="175"/>
    <w:bookmarkEnd w:id="176"/>
    <w:bookmarkEnd w:id="1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21" Target="media/rId21.png" /><Relationship Type="http://schemas.openxmlformats.org/officeDocument/2006/relationships/image" Id="rId34" Target="media/rId34.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66" Target="media/rId66.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image" Id="rId96" Target="media/rId96.png" /><Relationship Type="http://schemas.openxmlformats.org/officeDocument/2006/relationships/hyperlink" Id="rId172" Target="https://doi.org/10.1002/rse2.319" TargetMode="External" /><Relationship Type="http://schemas.openxmlformats.org/officeDocument/2006/relationships/hyperlink" Id="rId116" Target="https://doi.org/10.1016/j.ecolind.2020.107018" TargetMode="External" /><Relationship Type="http://schemas.openxmlformats.org/officeDocument/2006/relationships/hyperlink" Id="rId170" Target="https://doi.org/10.1016/j.ecolind.2021.108033" TargetMode="External" /><Relationship Type="http://schemas.openxmlformats.org/officeDocument/2006/relationships/hyperlink" Id="rId159" Target="https://doi.org/10.1016/j.ecoser.2022.101414" TargetMode="External" /><Relationship Type="http://schemas.openxmlformats.org/officeDocument/2006/relationships/hyperlink" Id="rId163" Target="https://doi.org/10.1016/j.marpolbul.2017.06.075" TargetMode="External" /><Relationship Type="http://schemas.openxmlformats.org/officeDocument/2006/relationships/hyperlink" Id="rId174" Target="https://doi.org/10.1016/j.rse.2020.112020" TargetMode="External" /><Relationship Type="http://schemas.openxmlformats.org/officeDocument/2006/relationships/hyperlink" Id="rId118" Target="https://doi.org/10.1016/j.rse.2023.113554" TargetMode="External" /><Relationship Type="http://schemas.openxmlformats.org/officeDocument/2006/relationships/hyperlink" Id="rId140"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20" Target="https://doi.org/10.15468/n4ak6x" TargetMode="External" /><Relationship Type="http://schemas.openxmlformats.org/officeDocument/2006/relationships/hyperlink" Id="rId155"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3"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72" Target="https://doi.org/10.1002/rse2.319" TargetMode="External" /><Relationship Type="http://schemas.openxmlformats.org/officeDocument/2006/relationships/hyperlink" Id="rId116" Target="https://doi.org/10.1016/j.ecolind.2020.107018" TargetMode="External" /><Relationship Type="http://schemas.openxmlformats.org/officeDocument/2006/relationships/hyperlink" Id="rId170" Target="https://doi.org/10.1016/j.ecolind.2021.108033" TargetMode="External" /><Relationship Type="http://schemas.openxmlformats.org/officeDocument/2006/relationships/hyperlink" Id="rId159" Target="https://doi.org/10.1016/j.ecoser.2022.101414" TargetMode="External" /><Relationship Type="http://schemas.openxmlformats.org/officeDocument/2006/relationships/hyperlink" Id="rId163" Target="https://doi.org/10.1016/j.marpolbul.2017.06.075" TargetMode="External" /><Relationship Type="http://schemas.openxmlformats.org/officeDocument/2006/relationships/hyperlink" Id="rId174" Target="https://doi.org/10.1016/j.rse.2020.112020" TargetMode="External" /><Relationship Type="http://schemas.openxmlformats.org/officeDocument/2006/relationships/hyperlink" Id="rId118" Target="https://doi.org/10.1016/j.rse.2023.113554" TargetMode="External" /><Relationship Type="http://schemas.openxmlformats.org/officeDocument/2006/relationships/hyperlink" Id="rId140"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20" Target="https://doi.org/10.15468/n4ak6x" TargetMode="External" /><Relationship Type="http://schemas.openxmlformats.org/officeDocument/2006/relationships/hyperlink" Id="rId155"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3"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PREPRINT – Discriminating Seagrasses From Green Macroalgae in European Intertidal areas using high resolution multispectral drone imagery – PREPRINT.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2024-03-05T20:23:45Z</dcterms:created>
  <dcterms:modified xsi:type="dcterms:W3CDTF">2024-03-05T20:23:45Z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drone images acquired with multi-spectral sensors offer a promising solution. This study focuses on using drones acquisitions for mapping intertidal macrophytes, effectively discriminating between seagrass and green macroalgae. Ten drone flights were conducted at two different altitudes (12m and 120m) across diverse European habitats in France and Portugal. Low altitude flights were used to train a Deep Learning classifier based on Neural Networks to discrimintate among 5 intertidal vegetation classes. Drone mapping demonstrated an overall accuracy of 94% across all the sites and images, covering a total area of 467 000 m². The model exhibited an accuracy of 96.4% in identifying seagrass.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2024-03-05</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